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C8681" w14:textId="77777777" w:rsidR="005C01B3" w:rsidRPr="00F4618B" w:rsidRDefault="005C01B3" w:rsidP="005C01B3">
      <w:pPr>
        <w:numPr>
          <w:ilvl w:val="0"/>
          <w:numId w:val="12"/>
        </w:numPr>
        <w:tabs>
          <w:tab w:val="left" w:pos="426"/>
        </w:tabs>
        <w:spacing w:after="240" w:line="360" w:lineRule="auto"/>
        <w:ind w:hanging="1800"/>
        <w:jc w:val="both"/>
        <w:rPr>
          <w:rFonts w:ascii="Times New Roman" w:eastAsia="Times New Roman" w:hAnsi="Times New Roman"/>
          <w:b/>
          <w:sz w:val="24"/>
          <w:szCs w:val="24"/>
          <w:lang w:val="hu-HU" w:eastAsia="en-GB"/>
        </w:rPr>
      </w:pPr>
      <w:r w:rsidRPr="00F4618B">
        <w:rPr>
          <w:rFonts w:ascii="Times New Roman" w:eastAsia="Times New Roman" w:hAnsi="Times New Roman"/>
          <w:b/>
          <w:sz w:val="24"/>
          <w:szCs w:val="24"/>
          <w:lang w:val="hu-HU" w:eastAsia="en-GB"/>
        </w:rPr>
        <w:t>Blokk: Kereskedelmi vállalatok finanszírozása</w:t>
      </w:r>
    </w:p>
    <w:p w14:paraId="1130D6C9" w14:textId="77777777" w:rsidR="005C01B3" w:rsidRPr="00726AF0" w:rsidRDefault="005C01B3" w:rsidP="005C01B3">
      <w:pPr>
        <w:numPr>
          <w:ilvl w:val="1"/>
          <w:numId w:val="12"/>
        </w:numPr>
        <w:tabs>
          <w:tab w:val="left" w:pos="426"/>
        </w:tabs>
        <w:spacing w:after="240" w:line="360" w:lineRule="auto"/>
        <w:ind w:left="1560" w:hanging="1560"/>
        <w:jc w:val="both"/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</w:pPr>
      <w:r w:rsidRPr="00726AF0">
        <w:rPr>
          <w:rFonts w:ascii="Times New Roman" w:eastAsia="Times New Roman" w:hAnsi="Times New Roman"/>
          <w:b/>
          <w:bCs/>
          <w:color w:val="92D050"/>
          <w:sz w:val="24"/>
          <w:szCs w:val="24"/>
          <w:lang w:val="hu-HU" w:eastAsia="en-GB"/>
        </w:rPr>
        <w:t>A forgóeszköz finanszírozás, likviditás elemzése, tervezése</w:t>
      </w:r>
    </w:p>
    <w:p w14:paraId="19ACA148" w14:textId="77777777" w:rsidR="005C01B3" w:rsidRPr="00F4618B" w:rsidRDefault="005C01B3" w:rsidP="005C01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forgóeszközökkel és a rövid lejáratú forrásokkal kapcsolatos döntések elterjedt összefoglaló elnevezése: </w:t>
      </w: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a forgótőke menedzsment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. A forgótőkével kapcsolatos stratégia meghatározásakor hasonló szempontokat kell mérlegelni, mint a hosszú távú pénzügyi döntések során, azaz, hogy milyen hatást gyakorolnak a vállalat hozamára és kockázatára, és ezen keresztül a tulajdonosok vagyonára. A rövid távú döntések azonban valamivel egyszerűbbek és talán kevésbé kritikusak. Ennek okai a következők:</w:t>
      </w:r>
    </w:p>
    <w:p w14:paraId="0EB40CD8" w14:textId="77777777" w:rsidR="005C01B3" w:rsidRPr="00F4618B" w:rsidRDefault="005C01B3" w:rsidP="005C01B3">
      <w:pPr>
        <w:numPr>
          <w:ilvl w:val="0"/>
          <w:numId w:val="17"/>
        </w:numPr>
        <w:shd w:val="clear" w:color="auto" w:fill="FBFBEF"/>
        <w:tabs>
          <w:tab w:val="num" w:pos="284"/>
        </w:tabs>
        <w:spacing w:before="100" w:beforeAutospacing="1" w:after="0" w:line="240" w:lineRule="auto"/>
        <w:ind w:left="450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nem determinálják hosszú időre a vállalkozás működési feltételeit és pénzügyi helyzetét,</w:t>
      </w:r>
    </w:p>
    <w:p w14:paraId="2C5D6B19" w14:textId="77777777" w:rsidR="005C01B3" w:rsidRPr="00F4618B" w:rsidRDefault="005C01B3" w:rsidP="005C01B3">
      <w:pPr>
        <w:numPr>
          <w:ilvl w:val="0"/>
          <w:numId w:val="17"/>
        </w:numPr>
        <w:shd w:val="clear" w:color="auto" w:fill="FBFBEF"/>
        <w:tabs>
          <w:tab w:val="num" w:pos="284"/>
        </w:tabs>
        <w:spacing w:before="100" w:beforeAutospacing="1" w:after="0" w:line="240" w:lineRule="auto"/>
        <w:ind w:left="450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általában könnyebb és viszonylag kevésbé költséges a visszafordításuk, megváltoztatásuk,</w:t>
      </w:r>
    </w:p>
    <w:p w14:paraId="16E27381" w14:textId="77777777" w:rsidR="005C01B3" w:rsidRPr="00F4618B" w:rsidRDefault="005C01B3" w:rsidP="005C01B3">
      <w:pPr>
        <w:numPr>
          <w:ilvl w:val="0"/>
          <w:numId w:val="17"/>
        </w:numPr>
        <w:shd w:val="clear" w:color="auto" w:fill="FBFBEF"/>
        <w:tabs>
          <w:tab w:val="num" w:pos="284"/>
        </w:tabs>
        <w:spacing w:before="100" w:beforeAutospacing="1" w:after="0" w:line="240" w:lineRule="auto"/>
        <w:ind w:left="450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rossz rövid távú döntések kevesebbe kerülnek a vállalat számára.</w:t>
      </w:r>
    </w:p>
    <w:p w14:paraId="0875D20A" w14:textId="77777777" w:rsidR="005C01B3" w:rsidRPr="00F4618B" w:rsidRDefault="005C01B3" w:rsidP="005C01B3">
      <w:pPr>
        <w:shd w:val="clear" w:color="auto" w:fill="FBFBEF"/>
        <w:spacing w:before="100" w:beforeAutospacing="1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Ez persze nem jelenti azt, hogy a rövid távú pénzügyi döntések kevésbé fontosak a vállalat számára. A forgótőke általában a vállalkozás eszközeinek és kötelezettségeinek egy jelentős részét foglalja magában. A termelő vállalatoknál a forgóeszközök átlagosan a 40 - 50 %-át képezik az összes eszköznek, míg a rövid távú kötelezettségek 25 - 30 %-át. Szolgáltatásokat nyújtó vállalkozásoknál a forgóeszközök aránya még magasabb lehet.</w:t>
      </w:r>
    </w:p>
    <w:p w14:paraId="2B0789A0" w14:textId="77777777" w:rsidR="005C01B3" w:rsidRPr="00F4618B" w:rsidRDefault="005C01B3" w:rsidP="005C01B3">
      <w:pPr>
        <w:shd w:val="clear" w:color="auto" w:fill="FBFBEF"/>
        <w:spacing w:before="100" w:beforeAutospacing="1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cég által követett rövid távú pénzügyi politika hatása két területen követhető nyomon.</w:t>
      </w:r>
    </w:p>
    <w:p w14:paraId="5B37773F" w14:textId="77777777" w:rsidR="005C01B3" w:rsidRPr="00F4618B" w:rsidRDefault="005C01B3" w:rsidP="005C01B3">
      <w:pPr>
        <w:numPr>
          <w:ilvl w:val="0"/>
          <w:numId w:val="18"/>
        </w:numPr>
        <w:shd w:val="clear" w:color="auto" w:fill="FBFBEF"/>
        <w:tabs>
          <w:tab w:val="clear" w:pos="720"/>
          <w:tab w:val="num" w:pos="284"/>
        </w:tabs>
        <w:spacing w:before="100" w:beforeAutospacing="1" w:after="0" w:line="240" w:lineRule="auto"/>
        <w:ind w:left="284" w:hanging="142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cég forgóeszközökbe történő befektetésének méretében. Ezt általában a cég összes eszközéhez viszonyítva mérik. A rugalmas vagy alkalmazkodó rövid távú pénzügypolitika egy viszonylag magas „forgóeszköz - összes eszköz" arányt támogat. A szigorú rövid távú pénzügypolitikával egy alacsonyabb „forgóeszköz - összes eszköz" aránnyal jár együtt.</w:t>
      </w:r>
    </w:p>
    <w:p w14:paraId="79E68799" w14:textId="77777777" w:rsidR="005C01B3" w:rsidRPr="00F4618B" w:rsidRDefault="005C01B3" w:rsidP="005C01B3">
      <w:pPr>
        <w:numPr>
          <w:ilvl w:val="0"/>
          <w:numId w:val="18"/>
        </w:numPr>
        <w:shd w:val="clear" w:color="auto" w:fill="FBFBEF"/>
        <w:tabs>
          <w:tab w:val="clear" w:pos="720"/>
          <w:tab w:val="num" w:pos="284"/>
        </w:tabs>
        <w:spacing w:before="100" w:beforeAutospacing="1" w:after="0" w:line="240" w:lineRule="auto"/>
        <w:ind w:left="284" w:hanging="142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forgóeszközök finanszírozásának területén. Ez a forgóeszközök finanszírozásához felhasznált rövid távú hitelek (vagyis rövid lejáratú kötelezettségek) és a hosszú távú hitelek egymáshoz viszonyított arányaként ragadhatjuk meg.</w:t>
      </w:r>
    </w:p>
    <w:p w14:paraId="1BECDF03" w14:textId="77777777" w:rsidR="005C01B3" w:rsidRPr="00F4618B" w:rsidRDefault="005C01B3" w:rsidP="005C01B3">
      <w:pPr>
        <w:shd w:val="clear" w:color="auto" w:fill="FBFBEF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  <w:t>Finanszírozási stratégiák:</w:t>
      </w:r>
    </w:p>
    <w:p w14:paraId="69343541" w14:textId="77777777" w:rsidR="005C01B3" w:rsidRPr="00F4618B" w:rsidRDefault="005C01B3" w:rsidP="005C01B3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hanging="578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Szolid: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az eszközök megtérülési ideje és a források lejárata megegyezik.</w:t>
      </w:r>
    </w:p>
    <w:p w14:paraId="12EBDD2D" w14:textId="77777777" w:rsidR="005C01B3" w:rsidRPr="00F4618B" w:rsidRDefault="005C01B3" w:rsidP="005C01B3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hanging="578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Konzervatív: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vállalat az eszközszükséglet egy részét is tartós forrással finanszírozza.</w:t>
      </w:r>
    </w:p>
    <w:p w14:paraId="7D90C3A9" w14:textId="77777777" w:rsidR="005C01B3" w:rsidRPr="00F4618B" w:rsidRDefault="005C01B3" w:rsidP="005C01B3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hanging="578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Agresszív: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a vállalat a tartós eszközök finanszírozásába is rövid lejáratú forrásokat von be.</w:t>
      </w:r>
    </w:p>
    <w:p w14:paraId="35AF3311" w14:textId="77777777" w:rsidR="005C01B3" w:rsidRPr="00F4618B" w:rsidRDefault="005C01B3" w:rsidP="005C01B3">
      <w:pPr>
        <w:shd w:val="clear" w:color="auto" w:fill="FFFFFF"/>
        <w:spacing w:before="180"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  <w:t>Nettó forgótőke:</w:t>
      </w:r>
    </w:p>
    <w:p w14:paraId="1D46D2A4" w14:textId="77777777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 hosszú lejáratú forrásokkal finanszírozott forgóeszközök értéke. A nettó forgótőke-szükségletet a vállalat tevékenységének jellege határozza meg. A nettó forgótőke a forgóeszközöknek azon állománya, ami tartós tőkelekötést igényel.</w:t>
      </w:r>
    </w:p>
    <w:p w14:paraId="410BB1A6" w14:textId="77777777" w:rsidR="005C01B3" w:rsidRPr="00F4618B" w:rsidRDefault="005C01B3" w:rsidP="005C01B3">
      <w:pPr>
        <w:shd w:val="clear" w:color="auto" w:fill="FFFFFF"/>
        <w:spacing w:before="180" w:after="0" w:line="330" w:lineRule="atLeast"/>
        <w:jc w:val="both"/>
        <w:outlineLvl w:val="0"/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  <w:t>Finanszírozási formák:</w:t>
      </w:r>
    </w:p>
    <w:p w14:paraId="78AAFF7F" w14:textId="77777777" w:rsidR="005C01B3" w:rsidRPr="00F4618B" w:rsidRDefault="005C01B3" w:rsidP="005C01B3">
      <w:pPr>
        <w:shd w:val="clear" w:color="auto" w:fill="FFFFFF"/>
        <w:spacing w:before="180" w:after="0" w:line="300" w:lineRule="atLeast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Belső források:</w:t>
      </w:r>
    </w:p>
    <w:p w14:paraId="5318B54E" w14:textId="77777777" w:rsidR="005C01B3" w:rsidRPr="00F4618B" w:rsidRDefault="005C01B3" w:rsidP="005C01B3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284" w:hanging="269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Leírásból történő finanszírozás: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az </w:t>
      </w:r>
      <w:proofErr w:type="spellStart"/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árbevételben</w:t>
      </w:r>
      <w:proofErr w:type="spellEnd"/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visszatérülő költségként    elszámolt amortizációból történő finanszírozás</w:t>
      </w:r>
    </w:p>
    <w:p w14:paraId="75F04913" w14:textId="77777777" w:rsidR="005C01B3" w:rsidRPr="00F4618B" w:rsidRDefault="005C01B3" w:rsidP="005C01B3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284" w:hanging="269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Nyereség visszatartása: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az önfinanszírozási lehetőség függ a cég nyereségétől, az adóztatás módjától, a cég osztalékpolitikájától. A mérleg szerinti eredmény önfinanszírozási forrásként felhasználható</w:t>
      </w:r>
    </w:p>
    <w:p w14:paraId="1E3052A5" w14:textId="77777777" w:rsidR="005C01B3" w:rsidRPr="00F4618B" w:rsidRDefault="005C01B3" w:rsidP="005C01B3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375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A belső finanszírozás előnyei:</w:t>
      </w:r>
    </w:p>
    <w:p w14:paraId="3EDF376B" w14:textId="77777777" w:rsidR="005C01B3" w:rsidRPr="00F4618B" w:rsidRDefault="005C01B3" w:rsidP="005C01B3">
      <w:pPr>
        <w:numPr>
          <w:ilvl w:val="1"/>
          <w:numId w:val="13"/>
        </w:numPr>
        <w:shd w:val="clear" w:color="auto" w:fill="FFFFFF"/>
        <w:tabs>
          <w:tab w:val="clear" w:pos="1440"/>
          <w:tab w:val="num" w:pos="709"/>
        </w:tabs>
        <w:spacing w:before="100" w:beforeAutospacing="1" w:after="0" w:line="270" w:lineRule="atLeast"/>
        <w:ind w:left="750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Az amortizáció korlátlanul felhasználható beruházásra</w:t>
      </w:r>
    </w:p>
    <w:p w14:paraId="145DD58C" w14:textId="77777777" w:rsidR="005C01B3" w:rsidRPr="00F4618B" w:rsidRDefault="005C01B3" w:rsidP="005C01B3">
      <w:pPr>
        <w:numPr>
          <w:ilvl w:val="1"/>
          <w:numId w:val="13"/>
        </w:numPr>
        <w:shd w:val="clear" w:color="auto" w:fill="FFFFFF"/>
        <w:tabs>
          <w:tab w:val="clear" w:pos="1440"/>
          <w:tab w:val="num" w:pos="709"/>
        </w:tabs>
        <w:spacing w:before="100" w:beforeAutospacing="1" w:after="0" w:line="270" w:lineRule="atLeast"/>
        <w:ind w:left="750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lastRenderedPageBreak/>
        <w:t>A visszaforgatott nyereséget külső tényezők nem befolyásolják.</w:t>
      </w:r>
    </w:p>
    <w:p w14:paraId="6ED60EE2" w14:textId="77777777" w:rsidR="005C01B3" w:rsidRPr="00F4618B" w:rsidRDefault="005C01B3" w:rsidP="005C01B3">
      <w:pPr>
        <w:shd w:val="clear" w:color="auto" w:fill="FFFFFF"/>
        <w:spacing w:before="180" w:after="0" w:line="300" w:lineRule="atLeast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Külső források:</w:t>
      </w:r>
    </w:p>
    <w:p w14:paraId="2505E8B1" w14:textId="77777777" w:rsidR="005C01B3" w:rsidRPr="00F4618B" w:rsidRDefault="005C01B3" w:rsidP="005C01B3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375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Hitelfinanszírozás: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jellemző formái a közép- és hosszú lejáratú beruházási és    fejlesztési hitelek, illetve a cég belső fejlesztési forrásait megelőlegező hitelek</w:t>
      </w:r>
    </w:p>
    <w:p w14:paraId="6EBC9A0D" w14:textId="77777777" w:rsidR="005C01B3" w:rsidRPr="00F4618B" w:rsidRDefault="005C01B3" w:rsidP="005C01B3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375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Részesedés-finanszírozás: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nő a tőkét átvevő alaptőkéje, így javul a hitelképessége is. A tőkét átadó célja lehet jövedelemből való részesedés, illetve tőkehozadék növelése.</w:t>
      </w:r>
    </w:p>
    <w:p w14:paraId="546ED710" w14:textId="77777777" w:rsidR="005C01B3" w:rsidRPr="00F4618B" w:rsidRDefault="005C01B3" w:rsidP="005C01B3">
      <w:pPr>
        <w:shd w:val="clear" w:color="auto" w:fill="FFFFFF"/>
        <w:spacing w:before="180" w:after="0" w:line="330" w:lineRule="atLeast"/>
        <w:jc w:val="both"/>
        <w:outlineLvl w:val="0"/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kern w:val="36"/>
          <w:sz w:val="24"/>
          <w:szCs w:val="24"/>
          <w:lang w:val="hu-HU" w:eastAsia="hu-HU"/>
        </w:rPr>
        <w:t>A forgóeszköz-szükséglet megállapítása:</w:t>
      </w:r>
    </w:p>
    <w:p w14:paraId="3B3D61D8" w14:textId="77777777" w:rsidR="005C01B3" w:rsidRPr="00F4618B" w:rsidRDefault="005C01B3" w:rsidP="005C01B3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284" w:hanging="269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Fordulatok száma: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kifejezi, hogy a forgóeszköz-állomány adott időszak alatt hányszor térül meg. Előnyös, ha értéke magas.</w:t>
      </w:r>
    </w:p>
    <w:p w14:paraId="3CDF7DED" w14:textId="77777777" w:rsidR="005C01B3" w:rsidRPr="00F4618B" w:rsidRDefault="005C01B3" w:rsidP="005C01B3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284" w:hanging="269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Forgási idő: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kifejezi, hogy hány nap szükséges egy fordulat megtételéhez. Előnyös, ha értéke alacsony.</w:t>
      </w:r>
    </w:p>
    <w:p w14:paraId="64EEBA7F" w14:textId="77777777" w:rsidR="005C01B3" w:rsidRPr="00F4618B" w:rsidRDefault="005C01B3" w:rsidP="005C01B3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375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Eszközigényesség: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kifejezi az egységnyi forgalomra jutó eszközállomány értékét.</w:t>
      </w:r>
    </w:p>
    <w:p w14:paraId="35758C54" w14:textId="77777777" w:rsidR="005C01B3" w:rsidRPr="00F4618B" w:rsidRDefault="005C01B3" w:rsidP="005C01B3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284" w:hanging="269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Reagálási fok: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kifejezi, hogy 1%-os forgalomváltozásra hány %-os változással reagál a forgóeszköz-állomány.</w:t>
      </w:r>
    </w:p>
    <w:p w14:paraId="79954575" w14:textId="77777777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</w:p>
    <w:p w14:paraId="6E969CA0" w14:textId="77777777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Reálhitel: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fedezetet tölt a bank.</w:t>
      </w:r>
    </w:p>
    <w:p w14:paraId="2303A189" w14:textId="77777777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Lombard hitel: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ingóságok elzálogosításával lehet hozzájutni.</w:t>
      </w:r>
    </w:p>
    <w:p w14:paraId="5D58BE8A" w14:textId="77777777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proofErr w:type="spellStart"/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Cessziós</w:t>
      </w:r>
      <w:proofErr w:type="spellEnd"/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 xml:space="preserve"> hitel: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követelés engedményezésével lehet likvid pénzhez jutni.</w:t>
      </w:r>
    </w:p>
    <w:p w14:paraId="30928FB2" w14:textId="77777777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Jelzáloghitel: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 ingatlan zálogba adása.)</w:t>
      </w:r>
    </w:p>
    <w:p w14:paraId="019F7829" w14:textId="77777777" w:rsidR="005C01B3" w:rsidRPr="00F4618B" w:rsidRDefault="005C01B3" w:rsidP="005C01B3">
      <w:pPr>
        <w:shd w:val="clear" w:color="auto" w:fill="FFFFFF"/>
        <w:spacing w:before="180" w:after="0" w:line="300" w:lineRule="atLeast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Kötelezettségvállalási hitelek esetében nem történik pénzfolyósítás.</w:t>
      </w:r>
    </w:p>
    <w:p w14:paraId="5DD15DDD" w14:textId="0681A967" w:rsidR="005C01B3" w:rsidRPr="00F4618B" w:rsidRDefault="005C01B3" w:rsidP="005C01B3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375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Kauciós hitel (bank vállal kezességet)</w:t>
      </w:r>
    </w:p>
    <w:p w14:paraId="440ABE21" w14:textId="77777777" w:rsidR="005C01B3" w:rsidRPr="00F4618B" w:rsidRDefault="005C01B3" w:rsidP="005C01B3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375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proofErr w:type="spellStart"/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Elfogadmány</w:t>
      </w:r>
      <w:proofErr w:type="spellEnd"/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hitel (váltót forgasson rá)</w:t>
      </w:r>
    </w:p>
    <w:p w14:paraId="6B2CCAEE" w14:textId="77777777" w:rsidR="005C01B3" w:rsidRPr="00F4618B" w:rsidRDefault="005C01B3" w:rsidP="005C01B3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0" w:lineRule="atLeast"/>
        <w:ind w:left="284" w:hanging="269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Számlapénzforgalom: Bankszámlaszerződés alapján történik. Feltételei: cégbejegyzés, statisztikai számjel megléte, aláírás, a pénzforgalmi megbízásokat formanyomtatványon kell benyújtani.</w:t>
      </w:r>
    </w:p>
    <w:p w14:paraId="36DFA401" w14:textId="77777777" w:rsidR="006A4178" w:rsidRDefault="006A4178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</w:pPr>
    </w:p>
    <w:p w14:paraId="30720F96" w14:textId="59B2AE90" w:rsidR="005C01B3" w:rsidRPr="00F4618B" w:rsidRDefault="005C01B3" w:rsidP="005C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hu-HU"/>
        </w:rPr>
      </w:pPr>
      <w:bookmarkStart w:id="0" w:name="_GoBack"/>
      <w:bookmarkEnd w:id="0"/>
      <w:r w:rsidRPr="00F4618B">
        <w:rPr>
          <w:rFonts w:ascii="Times New Roman" w:eastAsia="Times New Roman" w:hAnsi="Times New Roman"/>
          <w:b/>
          <w:bCs/>
          <w:sz w:val="24"/>
          <w:szCs w:val="24"/>
          <w:lang w:val="hu-HU" w:eastAsia="hu-HU"/>
        </w:rPr>
        <w:t>Fizetési módok: </w:t>
      </w:r>
      <w:r w:rsidRPr="00F4618B">
        <w:rPr>
          <w:rFonts w:ascii="Times New Roman" w:eastAsia="Times New Roman" w:hAnsi="Times New Roman"/>
          <w:sz w:val="24"/>
          <w:szCs w:val="24"/>
          <w:lang w:val="hu-HU" w:eastAsia="hu-HU"/>
        </w:rPr>
        <w:t>Átutalási megbízás, beszedési megbízás, akkreditív, elszámolási csekk.</w:t>
      </w:r>
    </w:p>
    <w:p w14:paraId="11BDC883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38C20C6D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A likviditási mutatók</w:t>
      </w:r>
    </w:p>
    <w:p w14:paraId="07638C57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110B97D0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A vállalat azon képességét, hogy rövid lejáratú kötelezettségeinek eleget tud-e tenni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vagy sem a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likviditási mutatók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mérik, melyeket a mérlegből származtatunk. A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fizetőkészség- és képesség megtartása minden vállalat számára létfontossági feltétel. Ez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függ egyrészt a cég felé irányuló fizetési igényektől, másrészt a rendelkezésre álló pénzé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konvertálható vagyontól.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A vállalat forgótőkével való ellátottsága nem csupán vállalati belső szempontból fontos,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ezen túlmenően széles körben alkalmazott mértéke a vállalattal kapcsolatos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kockázatnak is. A kockázat ebben az értelemben annak valószínűségét jelenti, hogy a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vállalat finanszírozási nehézségekkel kerülhet szembe, tehát fennáll a lehetősége, hogy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például képtelen időben teljesíteni esedékes fizetési kötelezettségeit. A nagyobb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forgótőkével rendelkező vállalat nagyobb valószínűséggel tud eleget tenni rövid lejáratú</w:t>
      </w:r>
      <w:r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kötelezettséginek.</w:t>
      </w:r>
    </w:p>
    <w:p w14:paraId="04CBAE81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14F23739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Nettó forgótőke (Net </w:t>
      </w:r>
      <w:proofErr w:type="spellStart"/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working</w:t>
      </w:r>
      <w:proofErr w:type="spellEnd"/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 </w:t>
      </w:r>
      <w:proofErr w:type="spellStart"/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capital</w:t>
      </w:r>
      <w:proofErr w:type="spellEnd"/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, NWC)</w:t>
      </w:r>
    </w:p>
    <w:p w14:paraId="2B3D4D91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69D56E91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Forgóeszközök - Rövid lejáratú kötelezettségek</w:t>
      </w:r>
    </w:p>
    <w:p w14:paraId="3BFFA80A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nettó forgótőke mutató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a vállalkozás szabad mozgásterét fejezi ki a pénzügyi teljesítések terén. A nagyobb forgótőkével rendelkező vállalkozás nagyobb valószínűséggel tud eleget tenni rövid lejáratú kötelezettségeinek (ami a hitelminősítés szempontjából is fontos). Vagyis a mutató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lastRenderedPageBreak/>
        <w:t>értékének növekedése esetén csökken a rövid lejáratú kötelezettségek szerepe a forgóeszközök finanszírozásában, ami a pénzügyi egyensúly növekvő stabilitását fejezi ki. Negatív értéke esetén a hosszú élettartamú eszközöket rövid lejáratú kötelezettségekből is finanszírozza a vállalkozás, ami súlyos pénzügyi egyensúlytalanságra utal.</w:t>
      </w:r>
    </w:p>
    <w:p w14:paraId="59DE48AB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</w:p>
    <w:p w14:paraId="3F96BB70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Likviditás 1. fokozata (Pénzhányad)</w:t>
      </w:r>
    </w:p>
    <w:p w14:paraId="14A18012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Math" w:hAnsi="Times New Roman"/>
          <w:sz w:val="24"/>
          <w:szCs w:val="24"/>
          <w:lang w:val="hu-HU" w:eastAsia="hu-HU"/>
        </w:rPr>
      </w:pPr>
    </w:p>
    <w:p w14:paraId="12BAF7DA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Math" w:hAnsi="Times New Roman"/>
          <w:sz w:val="24"/>
          <w:szCs w:val="24"/>
          <w:lang w:val="hu-HU" w:eastAsia="hu-HU"/>
        </w:rPr>
        <w:t xml:space="preserve">Likvid Forgóeszközök (pénzeszközök + piacképes értékpapírok), rövid lejáratú kötelezettségek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A vállalat leglikvidebb eszközeit a birtokában levő szabad pénzeszközök és piacképes értékpapírok alkotják. A mutató gyakorlatilag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a naprakész fizetőképességet mutatja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, hiszen az értékpapírok és pénzeszközök szinte veszteség nélkül könnyen pénzzé tehetők. A mutató értéke minél jobban megközelíti a 100 %-ot annál biztonságosabb, stabilabb a cég likviditása. Minimálisan elfogadható értéke 40-60 % között mozog.</w:t>
      </w:r>
    </w:p>
    <w:p w14:paraId="29C31A59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3CD68BFE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Likviditás 2. fokozata (Gyorsráta)</w:t>
      </w:r>
    </w:p>
    <w:p w14:paraId="0DC569F1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Math" w:hAnsi="Times New Roman"/>
          <w:sz w:val="24"/>
          <w:szCs w:val="24"/>
          <w:lang w:val="hu-HU" w:eastAsia="hu-HU"/>
        </w:rPr>
      </w:pPr>
    </w:p>
    <w:p w14:paraId="697DEDC8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Math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Math" w:hAnsi="Times New Roman"/>
          <w:sz w:val="24"/>
          <w:szCs w:val="24"/>
          <w:lang w:val="hu-HU" w:eastAsia="hu-HU"/>
        </w:rPr>
        <w:t>Likvid forgóeszközök + Követelések</w:t>
      </w:r>
    </w:p>
    <w:p w14:paraId="1F180A71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Math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Math" w:hAnsi="Times New Roman"/>
          <w:sz w:val="24"/>
          <w:szCs w:val="24"/>
          <w:lang w:val="hu-HU" w:eastAsia="hu-HU"/>
        </w:rPr>
        <w:t>Rövidlejáratú kötelezettségek</w:t>
      </w:r>
    </w:p>
    <w:p w14:paraId="78556365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Kifejezi, hogy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a legnehezebben mobilizálható forgóeszközök nélkül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(azaz a készletek figyelmen kívül hagyásával) a maradék forgóeszközök (követelések, értékpapírok és pénzeszközök)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hány %-át fedezik a rövid lejáratú kötelezettségeknek.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Elvárt, biztonságos értéke 100 % (1 vagy afeletti érték), bizonyos esetekben ennél alacsonyabb értékek is elfogadhatók, de a hitelintézetek a 150-180 %-os (1,5 -1,8) értéket tekintik a hitelnyújtás szempontjából ideálisnak.</w:t>
      </w:r>
    </w:p>
    <w:p w14:paraId="7ED30B6E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</w:p>
    <w:p w14:paraId="016A70FA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Likviditás 3. fokozata</w:t>
      </w:r>
    </w:p>
    <w:p w14:paraId="6B7CDD97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Math" w:hAnsi="Times New Roman"/>
          <w:sz w:val="24"/>
          <w:szCs w:val="24"/>
          <w:lang w:val="hu-HU" w:eastAsia="hu-HU"/>
        </w:rPr>
      </w:pPr>
    </w:p>
    <w:p w14:paraId="304DE198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Math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Math" w:hAnsi="Times New Roman"/>
          <w:sz w:val="24"/>
          <w:szCs w:val="24"/>
          <w:lang w:val="hu-HU" w:eastAsia="hu-HU"/>
        </w:rPr>
        <w:t>Forgóeszközök, rövidlejáratú kötelezettségek</w:t>
      </w:r>
    </w:p>
    <w:p w14:paraId="36D44D46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Azt az értéksávot mutatja meg, amelyen belül a vállalkozás forgóeszközeinek értéke csökkenhet, anélkül, hogy ez veszélyeztetné a folyó kötelezettségek kifizetését. A mutató megmutatja, hogy a cég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a meglévő folyó eszközeiből képes-e a folyamatosan felmerülő kötelezettségeit kiegyenlíteni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, illetve hányszor tudná kifizetni folyó kötelezettségeit. Pénzintézetek értékelése alapján jó, ha a mutató nagyobb 1,5-2-nél (150-200%).</w:t>
      </w:r>
    </w:p>
    <w:p w14:paraId="09A55418" w14:textId="7F92E0A9" w:rsidR="005C01B3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5095F9F4" w14:textId="77777777" w:rsidR="00B76FD3" w:rsidRPr="00B76FD3" w:rsidRDefault="00B76FD3" w:rsidP="00B76FD3">
      <w:pPr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Megállító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kérdés</w:t>
      </w:r>
      <w:proofErr w:type="spellEnd"/>
    </w:p>
    <w:p w14:paraId="24A2ED32" w14:textId="4E3F0CC0" w:rsidR="00B76FD3" w:rsidRPr="00B76FD3" w:rsidRDefault="00B76FD3" w:rsidP="00B76FD3">
      <w:pPr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Gondol</w:t>
      </w:r>
      <w:r w:rsidR="005A77F6">
        <w:rPr>
          <w:rFonts w:ascii="Times New Roman" w:hAnsi="Times New Roman"/>
          <w:b/>
          <w:bCs/>
          <w:color w:val="FF0000"/>
          <w:sz w:val="24"/>
          <w:szCs w:val="24"/>
        </w:rPr>
        <w:t>ja</w:t>
      </w:r>
      <w:proofErr w:type="spellEnd"/>
      <w:r w:rsidR="005A77F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5A77F6">
        <w:rPr>
          <w:rFonts w:ascii="Times New Roman" w:hAnsi="Times New Roman"/>
          <w:b/>
          <w:bCs/>
          <w:color w:val="FF0000"/>
          <w:sz w:val="24"/>
          <w:szCs w:val="24"/>
        </w:rPr>
        <w:t>végig</w:t>
      </w:r>
      <w:proofErr w:type="spellEnd"/>
      <w:r w:rsidR="005A77F6">
        <w:rPr>
          <w:rFonts w:ascii="Times New Roman" w:hAnsi="Times New Roman"/>
          <w:b/>
          <w:bCs/>
          <w:color w:val="FF0000"/>
          <w:sz w:val="24"/>
          <w:szCs w:val="24"/>
        </w:rPr>
        <w:t xml:space="preserve">, </w:t>
      </w:r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mi a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jelentősége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vállalatok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likviditási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képességének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!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Milyen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nehézségekkel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szembesül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vállalat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, ha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nincsen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elég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szabad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forrása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és a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működési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pénzárama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negatív</w:t>
      </w:r>
      <w:proofErr w:type="spellEnd"/>
      <w:r w:rsidRPr="00B76FD3">
        <w:rPr>
          <w:rFonts w:ascii="Times New Roman" w:hAnsi="Times New Roman"/>
          <w:b/>
          <w:bCs/>
          <w:color w:val="FF0000"/>
          <w:sz w:val="24"/>
          <w:szCs w:val="24"/>
        </w:rPr>
        <w:t>?</w:t>
      </w:r>
      <w:r w:rsidR="0003291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(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Olvassa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el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újra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likviditíás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definícióját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nézze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meg a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három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likviditási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mutató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értélmezését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– és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ezek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alapján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összegezze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 xml:space="preserve"> a </w:t>
      </w:r>
      <w:proofErr w:type="spellStart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nehézségeket</w:t>
      </w:r>
      <w:proofErr w:type="spellEnd"/>
      <w:r w:rsidR="00952F24">
        <w:rPr>
          <w:rFonts w:ascii="Times New Roman" w:hAnsi="Times New Roman"/>
          <w:b/>
          <w:bCs/>
          <w:color w:val="FF0000"/>
          <w:sz w:val="24"/>
          <w:szCs w:val="24"/>
        </w:rPr>
        <w:t>!)</w:t>
      </w:r>
    </w:p>
    <w:p w14:paraId="3B9E3407" w14:textId="77777777" w:rsidR="00B76FD3" w:rsidRPr="00F4618B" w:rsidRDefault="00B76FD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2697D225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>Adósság és hitelképességi ráták</w:t>
      </w:r>
    </w:p>
    <w:p w14:paraId="29659C7A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</w:pPr>
    </w:p>
    <w:p w14:paraId="3A30AF4A" w14:textId="77777777" w:rsidR="005C01B3" w:rsidRPr="00F4618B" w:rsidRDefault="005C01B3" w:rsidP="005C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-Bold" w:hAnsi="Times New Roman"/>
          <w:sz w:val="24"/>
          <w:szCs w:val="24"/>
          <w:lang w:val="hu-HU" w:eastAsia="hu-HU"/>
        </w:rPr>
      </w:pP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 xml:space="preserve">A cég hitelképesség visszafizetését az </w:t>
      </w:r>
      <w:r w:rsidRPr="00F4618B">
        <w:rPr>
          <w:rFonts w:ascii="Times New Roman" w:eastAsia="Cambria-Bold" w:hAnsi="Times New Roman"/>
          <w:b/>
          <w:bCs/>
          <w:sz w:val="24"/>
          <w:szCs w:val="24"/>
          <w:lang w:val="hu-HU" w:eastAsia="hu-HU"/>
        </w:rPr>
        <w:t xml:space="preserve">adósság és hitelképességi ráták </w:t>
      </w:r>
      <w:r w:rsidRPr="00F4618B">
        <w:rPr>
          <w:rFonts w:ascii="Times New Roman" w:eastAsia="Cambria-Bold" w:hAnsi="Times New Roman"/>
          <w:sz w:val="24"/>
          <w:szCs w:val="24"/>
          <w:lang w:val="hu-HU" w:eastAsia="hu-HU"/>
        </w:rPr>
        <w:t>mérik. Minél nagyobb arányt képviselnek a tulajdonosok az összes eszköz fölött, annál jelentősebb mértékű kockázatot vállalnak.</w:t>
      </w:r>
    </w:p>
    <w:p w14:paraId="7F5A4FCD" w14:textId="77777777" w:rsidR="0008571E" w:rsidRPr="005C01B3" w:rsidRDefault="006A4178" w:rsidP="005C01B3"/>
    <w:sectPr w:rsidR="0008571E" w:rsidRPr="005C01B3" w:rsidSect="00B76FD3">
      <w:pgSz w:w="11906" w:h="16838"/>
      <w:pgMar w:top="1135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Mat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0A9D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03411"/>
    <w:multiLevelType w:val="hybridMultilevel"/>
    <w:tmpl w:val="8160E5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32904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C3229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705E8"/>
    <w:multiLevelType w:val="multilevel"/>
    <w:tmpl w:val="84CAA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D78F1"/>
    <w:multiLevelType w:val="multilevel"/>
    <w:tmpl w:val="ADDA0630"/>
    <w:lvl w:ilvl="0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 w15:restartNumberingAfterBreak="0">
    <w:nsid w:val="277329E7"/>
    <w:multiLevelType w:val="multilevel"/>
    <w:tmpl w:val="922E7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2D4138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F51711"/>
    <w:multiLevelType w:val="multilevel"/>
    <w:tmpl w:val="8AF8C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6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1F4237"/>
    <w:multiLevelType w:val="multilevel"/>
    <w:tmpl w:val="1A18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1F1C64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5B7005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EC21CE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834198"/>
    <w:multiLevelType w:val="hybridMultilevel"/>
    <w:tmpl w:val="40EE4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33742"/>
    <w:multiLevelType w:val="hybridMultilevel"/>
    <w:tmpl w:val="758E3A04"/>
    <w:lvl w:ilvl="0" w:tplc="BBE49E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8030E"/>
    <w:multiLevelType w:val="multilevel"/>
    <w:tmpl w:val="AC3A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7A190B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C04098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587B1E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2"/>
  </w:num>
  <w:num w:numId="5">
    <w:abstractNumId w:val="10"/>
  </w:num>
  <w:num w:numId="6">
    <w:abstractNumId w:val="16"/>
  </w:num>
  <w:num w:numId="7">
    <w:abstractNumId w:val="0"/>
  </w:num>
  <w:num w:numId="8">
    <w:abstractNumId w:val="12"/>
  </w:num>
  <w:num w:numId="9">
    <w:abstractNumId w:val="3"/>
  </w:num>
  <w:num w:numId="10">
    <w:abstractNumId w:val="18"/>
  </w:num>
  <w:num w:numId="11">
    <w:abstractNumId w:val="17"/>
  </w:num>
  <w:num w:numId="12">
    <w:abstractNumId w:val="5"/>
  </w:num>
  <w:num w:numId="13">
    <w:abstractNumId w:val="8"/>
  </w:num>
  <w:num w:numId="14">
    <w:abstractNumId w:val="4"/>
  </w:num>
  <w:num w:numId="15">
    <w:abstractNumId w:val="15"/>
  </w:num>
  <w:num w:numId="16">
    <w:abstractNumId w:val="9"/>
  </w:num>
  <w:num w:numId="17">
    <w:abstractNumId w:val="6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48"/>
    <w:rsid w:val="00032917"/>
    <w:rsid w:val="000B2994"/>
    <w:rsid w:val="00235641"/>
    <w:rsid w:val="00286A48"/>
    <w:rsid w:val="002A4BE6"/>
    <w:rsid w:val="0056299D"/>
    <w:rsid w:val="005A77F6"/>
    <w:rsid w:val="005C01B3"/>
    <w:rsid w:val="006A4178"/>
    <w:rsid w:val="00703914"/>
    <w:rsid w:val="007A1EE3"/>
    <w:rsid w:val="00915F2B"/>
    <w:rsid w:val="00926ECF"/>
    <w:rsid w:val="00952DE7"/>
    <w:rsid w:val="00952F24"/>
    <w:rsid w:val="00B0789A"/>
    <w:rsid w:val="00B76FD3"/>
    <w:rsid w:val="00C85A0A"/>
    <w:rsid w:val="00D202F0"/>
    <w:rsid w:val="00D3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1B506"/>
  <w15:chartTrackingRefBased/>
  <w15:docId w15:val="{DF8A1D9C-306D-4134-A370-9247ABC5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86A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629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6299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85A0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6A48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C85A0A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rmlWeb">
    <w:name w:val="Normal (Web)"/>
    <w:basedOn w:val="Norml"/>
    <w:uiPriority w:val="99"/>
    <w:semiHidden/>
    <w:unhideWhenUsed/>
    <w:rsid w:val="00C85A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Kiemels2">
    <w:name w:val="Strong"/>
    <w:uiPriority w:val="22"/>
    <w:qFormat/>
    <w:rsid w:val="00C85A0A"/>
    <w:rPr>
      <w:b/>
      <w:bCs/>
    </w:rPr>
  </w:style>
  <w:style w:type="paragraph" w:customStyle="1" w:styleId="citation">
    <w:name w:val="citation"/>
    <w:basedOn w:val="Norml"/>
    <w:rsid w:val="00C85A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6299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6299D"/>
    <w:rPr>
      <w:rFonts w:ascii="Calibri Light" w:eastAsia="Times New Roman" w:hAnsi="Calibri Light" w:cs="Times New Roman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1040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Gabor Bekesi</dc:creator>
  <cp:keywords/>
  <dc:description/>
  <cp:lastModifiedBy>Patrícia Németh</cp:lastModifiedBy>
  <cp:revision>6</cp:revision>
  <dcterms:created xsi:type="dcterms:W3CDTF">2020-08-05T09:17:00Z</dcterms:created>
  <dcterms:modified xsi:type="dcterms:W3CDTF">2020-08-05T09:30:00Z</dcterms:modified>
</cp:coreProperties>
</file>